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7BE" w:rsidRDefault="00BF37BE" w:rsidP="00BF37BE">
      <w:pPr>
        <w:spacing w:before="100" w:beforeAutospacing="1" w:after="100" w:afterAutospacing="1"/>
        <w:ind w:left="720"/>
        <w:jc w:val="both"/>
        <w:rPr>
          <w:rFonts w:ascii="Arial" w:hAnsi="Arial" w:cs="Arial"/>
          <w:sz w:val="24"/>
          <w:szCs w:val="24"/>
        </w:rPr>
      </w:pPr>
      <w:r>
        <w:rPr>
          <w:rFonts w:ascii="Arial" w:hAnsi="Arial" w:cs="Arial"/>
          <w:sz w:val="24"/>
          <w:szCs w:val="24"/>
        </w:rPr>
        <w:t>PRESENT LEVEL OF EDUCATIONAL PERFORMANCE</w:t>
      </w:r>
    </w:p>
    <w:p w:rsidR="00BF37BE" w:rsidRDefault="00BF37BE" w:rsidP="00BF37BE">
      <w:pPr>
        <w:spacing w:before="100" w:beforeAutospacing="1" w:after="100" w:afterAutospacing="1"/>
        <w:ind w:left="720"/>
        <w:jc w:val="both"/>
        <w:rPr>
          <w:rFonts w:ascii="Arial" w:hAnsi="Arial" w:cs="Arial"/>
          <w:sz w:val="24"/>
          <w:szCs w:val="24"/>
        </w:rPr>
      </w:pPr>
      <w:r>
        <w:rPr>
          <w:rFonts w:ascii="Arial" w:hAnsi="Arial" w:cs="Arial"/>
          <w:sz w:val="24"/>
          <w:szCs w:val="24"/>
        </w:rPr>
        <w:t>STUDENT scored well in the O&amp;M Inventory domains of concepts, movement, single room O&amp;M, orientation and community skills. STUDENT needed to improve in the domains of street crossings, public transportation, atypical O&amp;M, and vision specific O&amp;M skills. He had already improved his skills in the area of rural travel. STUDENT was eager to learn and wanted to improve his skills. Street crossings would be one of the primary areas of focus and he had already begun to work at an even wider variety of intersections.</w:t>
      </w:r>
    </w:p>
    <w:p w:rsidR="00BF37BE" w:rsidRDefault="00BF37BE" w:rsidP="00BF37BE">
      <w:pPr>
        <w:spacing w:before="100" w:beforeAutospacing="1" w:after="100" w:afterAutospacing="1"/>
        <w:ind w:left="720"/>
        <w:jc w:val="both"/>
        <w:rPr>
          <w:rFonts w:ascii="Arial" w:hAnsi="Arial" w:cs="Arial"/>
          <w:sz w:val="24"/>
          <w:szCs w:val="24"/>
        </w:rPr>
      </w:pPr>
      <w:r>
        <w:rPr>
          <w:rFonts w:ascii="Arial" w:hAnsi="Arial" w:cs="Arial"/>
          <w:sz w:val="24"/>
          <w:szCs w:val="24"/>
        </w:rPr>
        <w:t> </w:t>
      </w:r>
    </w:p>
    <w:p w:rsidR="00BF37BE" w:rsidRDefault="00BF37BE" w:rsidP="00BF37BE">
      <w:pPr>
        <w:spacing w:before="100" w:beforeAutospacing="1" w:after="100" w:afterAutospacing="1"/>
        <w:ind w:left="720"/>
        <w:jc w:val="center"/>
        <w:rPr>
          <w:rFonts w:ascii="Arial" w:hAnsi="Arial" w:cs="Arial"/>
          <w:b/>
          <w:bCs/>
          <w:sz w:val="24"/>
          <w:szCs w:val="24"/>
        </w:rPr>
      </w:pPr>
      <w:r>
        <w:rPr>
          <w:rFonts w:ascii="Arial" w:hAnsi="Arial" w:cs="Arial"/>
          <w:b/>
          <w:bCs/>
          <w:caps/>
          <w:sz w:val="24"/>
          <w:szCs w:val="24"/>
        </w:rPr>
        <w:t>PROGRESS REPORT</w:t>
      </w:r>
      <w:r>
        <w:rPr>
          <w:rFonts w:ascii="Arial" w:hAnsi="Arial" w:cs="Arial"/>
          <w:color w:val="800080"/>
          <w:sz w:val="24"/>
          <w:szCs w:val="24"/>
        </w:rPr>
        <w:t> </w:t>
      </w:r>
    </w:p>
    <w:p w:rsidR="00BF37BE" w:rsidRDefault="00BF37BE" w:rsidP="00BF37BE">
      <w:pPr>
        <w:spacing w:before="100" w:beforeAutospacing="1" w:after="100" w:afterAutospacing="1"/>
        <w:ind w:left="720"/>
        <w:jc w:val="center"/>
        <w:rPr>
          <w:rFonts w:ascii="Arial" w:hAnsi="Arial" w:cs="Arial"/>
          <w:sz w:val="24"/>
          <w:szCs w:val="24"/>
        </w:rPr>
      </w:pPr>
      <w:r>
        <w:rPr>
          <w:rFonts w:ascii="Arial" w:hAnsi="Arial" w:cs="Arial"/>
          <w:sz w:val="24"/>
          <w:szCs w:val="24"/>
        </w:rPr>
        <w:t xml:space="preserve">The measurable annual goals must </w:t>
      </w:r>
      <w:r>
        <w:rPr>
          <w:rFonts w:ascii="Arial" w:hAnsi="Arial" w:cs="Arial"/>
          <w:b/>
          <w:bCs/>
          <w:sz w:val="24"/>
          <w:szCs w:val="24"/>
        </w:rPr>
        <w:t>align with</w:t>
      </w:r>
      <w:r>
        <w:rPr>
          <w:rFonts w:ascii="Arial" w:hAnsi="Arial" w:cs="Arial"/>
          <w:sz w:val="24"/>
          <w:szCs w:val="24"/>
        </w:rPr>
        <w:t xml:space="preserve"> the </w:t>
      </w:r>
      <w:r>
        <w:rPr>
          <w:rFonts w:ascii="Arial" w:hAnsi="Arial" w:cs="Arial"/>
          <w:b/>
          <w:bCs/>
          <w:sz w:val="24"/>
          <w:szCs w:val="24"/>
        </w:rPr>
        <w:t>student’s</w:t>
      </w:r>
      <w:r>
        <w:rPr>
          <w:rFonts w:ascii="Arial" w:hAnsi="Arial" w:cs="Arial"/>
          <w:sz w:val="24"/>
          <w:szCs w:val="24"/>
        </w:rPr>
        <w:t xml:space="preserve"> needs and reflect how they support the </w:t>
      </w:r>
      <w:r>
        <w:rPr>
          <w:rFonts w:ascii="Arial" w:hAnsi="Arial" w:cs="Arial"/>
          <w:b/>
          <w:bCs/>
          <w:sz w:val="24"/>
          <w:szCs w:val="24"/>
        </w:rPr>
        <w:t>student’s</w:t>
      </w:r>
      <w:r>
        <w:rPr>
          <w:rFonts w:ascii="Arial" w:hAnsi="Arial" w:cs="Arial"/>
          <w:sz w:val="24"/>
          <w:szCs w:val="24"/>
        </w:rPr>
        <w:t xml:space="preserve"> post-school goals. </w:t>
      </w:r>
    </w:p>
    <w:p w:rsidR="00BF37BE" w:rsidRDefault="00BF37BE" w:rsidP="00BF37BE">
      <w:pPr>
        <w:spacing w:after="120" w:line="288" w:lineRule="auto"/>
        <w:ind w:left="720"/>
        <w:jc w:val="center"/>
        <w:rPr>
          <w:rFonts w:ascii="Arial" w:hAnsi="Arial" w:cs="Arial"/>
          <w:sz w:val="24"/>
          <w:szCs w:val="24"/>
        </w:rPr>
      </w:pPr>
      <w:r>
        <w:rPr>
          <w:rFonts w:ascii="Arial" w:hAnsi="Arial" w:cs="Arial"/>
          <w:b/>
          <w:bCs/>
          <w:sz w:val="24"/>
          <w:szCs w:val="24"/>
        </w:rPr>
        <w:t xml:space="preserve"> Other: </w:t>
      </w:r>
      <w:r>
        <w:rPr>
          <w:rFonts w:ascii="Arial" w:hAnsi="Arial" w:cs="Arial"/>
          <w:b/>
          <w:bCs/>
          <w:sz w:val="24"/>
          <w:szCs w:val="24"/>
          <w:u w:val="single"/>
        </w:rPr>
        <w:t>Orientation &amp; Mobility</w:t>
      </w:r>
    </w:p>
    <w:p w:rsidR="00BF37BE" w:rsidRDefault="00BF37BE" w:rsidP="00BF37BE">
      <w:pPr>
        <w:spacing w:before="100" w:beforeAutospacing="1" w:after="100" w:afterAutospacing="1"/>
        <w:ind w:left="720"/>
        <w:jc w:val="center"/>
        <w:rPr>
          <w:rFonts w:ascii="Arial" w:hAnsi="Arial" w:cs="Arial"/>
          <w:sz w:val="24"/>
          <w:szCs w:val="24"/>
        </w:rPr>
      </w:pPr>
      <w:r>
        <w:rPr>
          <w:rFonts w:ascii="Arial" w:hAnsi="Arial" w:cs="Arial"/>
          <w:b/>
          <w:bCs/>
          <w:sz w:val="24"/>
          <w:szCs w:val="24"/>
        </w:rPr>
        <w:t xml:space="preserve">ANNUAL GOAL: </w:t>
      </w:r>
      <w:r>
        <w:rPr>
          <w:rFonts w:ascii="Arial" w:hAnsi="Arial" w:cs="Arial"/>
          <w:sz w:val="24"/>
          <w:szCs w:val="24"/>
        </w:rPr>
        <w:t xml:space="preserve">(direction of change, the behavior, present level, ending level and timeframe for achieving the goal) </w:t>
      </w:r>
    </w:p>
    <w:p w:rsidR="00BF37BE" w:rsidRDefault="00BF37BE" w:rsidP="00BF37BE">
      <w:pPr>
        <w:spacing w:after="120"/>
        <w:ind w:left="720"/>
        <w:jc w:val="center"/>
        <w:rPr>
          <w:rFonts w:ascii="Arial" w:hAnsi="Arial" w:cs="Arial"/>
          <w:sz w:val="24"/>
          <w:szCs w:val="24"/>
        </w:rPr>
      </w:pPr>
      <w:r>
        <w:rPr>
          <w:rFonts w:ascii="Arial" w:hAnsi="Arial" w:cs="Arial"/>
          <w:b/>
          <w:bCs/>
          <w:sz w:val="24"/>
          <w:szCs w:val="24"/>
        </w:rPr>
        <w:t>Date Initiated __</w:t>
      </w:r>
      <w:proofErr w:type="gramStart"/>
      <w:r>
        <w:rPr>
          <w:rFonts w:ascii="Arial" w:hAnsi="Arial" w:cs="Arial"/>
          <w:b/>
          <w:bCs/>
          <w:sz w:val="24"/>
          <w:szCs w:val="24"/>
          <w:u w:val="single"/>
        </w:rPr>
        <w:t>May ??</w:t>
      </w:r>
      <w:proofErr w:type="gramEnd"/>
      <w:r>
        <w:rPr>
          <w:rFonts w:ascii="Arial" w:hAnsi="Arial" w:cs="Arial"/>
          <w:b/>
          <w:bCs/>
          <w:sz w:val="24"/>
          <w:szCs w:val="24"/>
          <w:u w:val="single"/>
        </w:rPr>
        <w:t xml:space="preserve"> 2011</w:t>
      </w:r>
      <w:r>
        <w:rPr>
          <w:rFonts w:ascii="Arial" w:hAnsi="Arial" w:cs="Arial"/>
          <w:b/>
          <w:bCs/>
          <w:sz w:val="24"/>
          <w:szCs w:val="24"/>
        </w:rPr>
        <w:t>__________</w:t>
      </w:r>
    </w:p>
    <w:p w:rsidR="00BF37BE" w:rsidRDefault="00BF37BE" w:rsidP="00BF37BE">
      <w:pPr>
        <w:shd w:val="clear" w:color="auto" w:fill="F3F3F3"/>
        <w:spacing w:after="120"/>
        <w:ind w:left="720"/>
        <w:jc w:val="both"/>
        <w:rPr>
          <w:rFonts w:ascii="Arial" w:hAnsi="Arial" w:cs="Arial"/>
          <w:sz w:val="24"/>
          <w:szCs w:val="24"/>
        </w:rPr>
      </w:pPr>
      <w:r>
        <w:rPr>
          <w:rFonts w:ascii="Arial" w:hAnsi="Arial" w:cs="Arial"/>
          <w:sz w:val="24"/>
          <w:szCs w:val="24"/>
          <w:u w:val="single"/>
        </w:rPr>
        <w:t>STUDENT will improve his O&amp;M skills as demonstrated by increasing his score on the O&amp;M Inventory from 64.9% to a minimum of 74% by the end of May 2012.</w:t>
      </w:r>
    </w:p>
    <w:p w:rsidR="00BF37BE" w:rsidRDefault="00BF37BE" w:rsidP="00BF37BE">
      <w:pPr>
        <w:spacing w:before="100" w:beforeAutospacing="1" w:after="100" w:afterAutospacing="1"/>
        <w:ind w:left="720"/>
        <w:jc w:val="center"/>
        <w:rPr>
          <w:rFonts w:ascii="Arial" w:hAnsi="Arial" w:cs="Arial"/>
          <w:sz w:val="24"/>
          <w:szCs w:val="24"/>
        </w:rPr>
      </w:pPr>
      <w:r>
        <w:rPr>
          <w:rFonts w:ascii="Arial" w:hAnsi="Arial" w:cs="Arial"/>
          <w:sz w:val="24"/>
          <w:szCs w:val="24"/>
        </w:rPr>
        <w:t> </w:t>
      </w:r>
    </w:p>
    <w:tbl>
      <w:tblPr>
        <w:tblW w:w="7942" w:type="dxa"/>
        <w:jc w:val="center"/>
        <w:tblCellMar>
          <w:left w:w="0" w:type="dxa"/>
          <w:right w:w="0" w:type="dxa"/>
        </w:tblCellMar>
        <w:tblLook w:val="04A0" w:firstRow="1" w:lastRow="0" w:firstColumn="1" w:lastColumn="0" w:noHBand="0" w:noVBand="1"/>
      </w:tblPr>
      <w:tblGrid>
        <w:gridCol w:w="2920"/>
        <w:gridCol w:w="1044"/>
        <w:gridCol w:w="1044"/>
        <w:gridCol w:w="1044"/>
        <w:gridCol w:w="1044"/>
        <w:gridCol w:w="1044"/>
        <w:gridCol w:w="1044"/>
      </w:tblGrid>
      <w:tr w:rsidR="00BF37BE" w:rsidTr="00BF37BE">
        <w:trPr>
          <w:trHeight w:val="300"/>
          <w:jc w:val="center"/>
        </w:trPr>
        <w:tc>
          <w:tcPr>
            <w:tcW w:w="29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Student: Name Redacted</w:t>
            </w:r>
          </w:p>
        </w:tc>
        <w:tc>
          <w:tcPr>
            <w:tcW w:w="83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3/11</w:t>
            </w:r>
          </w:p>
        </w:tc>
        <w:tc>
          <w:tcPr>
            <w:tcW w:w="83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5/11</w:t>
            </w:r>
          </w:p>
        </w:tc>
        <w:tc>
          <w:tcPr>
            <w:tcW w:w="83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10/11</w:t>
            </w:r>
          </w:p>
        </w:tc>
        <w:tc>
          <w:tcPr>
            <w:tcW w:w="83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12/11</w:t>
            </w:r>
          </w:p>
        </w:tc>
        <w:tc>
          <w:tcPr>
            <w:tcW w:w="83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3/12</w:t>
            </w:r>
          </w:p>
        </w:tc>
        <w:tc>
          <w:tcPr>
            <w:tcW w:w="83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5/12</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 </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Percent</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Percent</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Percent</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Percent</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Percent</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Percent</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Concepts</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97.5</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97.5</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Movement</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96.8</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97.6</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Single Room O&amp;M</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100.0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100.0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Indoor O&amp;M</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47.9</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47.9</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proofErr w:type="spellStart"/>
            <w:r>
              <w:rPr>
                <w:rFonts w:ascii="Arial" w:hAnsi="Arial" w:cs="Arial"/>
                <w:sz w:val="24"/>
                <w:szCs w:val="24"/>
              </w:rPr>
              <w:t>Self Protection</w:t>
            </w:r>
            <w:proofErr w:type="spellEnd"/>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2.0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2.0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Guided Travel</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46.7</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46.7</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Cane Skills</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42.6</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42.6</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 xml:space="preserve">Sidewalk Travel </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66.7</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66.7</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Street Crossings</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76.8</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79.0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Orientation Skills &amp; GPS</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94.1</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94.1</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Public Transportation</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54.3</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54.3</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Atypical O&amp;M</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71.6</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86.7</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lastRenderedPageBreak/>
              <w:t>Rural Travel</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22.7</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100.0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Vision Specific O&amp;M Skills</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64.0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64.0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sz w:val="24"/>
                <w:szCs w:val="24"/>
              </w:rPr>
              <w:t xml:space="preserve">Community </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89.3</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92.0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sz w:val="24"/>
                <w:szCs w:val="24"/>
              </w:rPr>
              <w:t>0.0</w:t>
            </w:r>
          </w:p>
        </w:tc>
      </w:tr>
      <w:tr w:rsidR="00BF37BE" w:rsidTr="00BF37BE">
        <w:trPr>
          <w:trHeight w:val="300"/>
          <w:jc w:val="center"/>
        </w:trPr>
        <w:tc>
          <w:tcPr>
            <w:tcW w:w="2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37BE" w:rsidRDefault="00BF37BE">
            <w:pPr>
              <w:spacing w:before="100" w:beforeAutospacing="1" w:after="100" w:afterAutospacing="1"/>
              <w:rPr>
                <w:rFonts w:ascii="Arial" w:hAnsi="Arial" w:cs="Arial"/>
                <w:sz w:val="24"/>
                <w:szCs w:val="24"/>
              </w:rPr>
            </w:pPr>
            <w:r>
              <w:rPr>
                <w:rFonts w:ascii="Arial" w:hAnsi="Arial" w:cs="Arial"/>
                <w:b/>
                <w:bCs/>
                <w:sz w:val="24"/>
                <w:szCs w:val="24"/>
              </w:rPr>
              <w:t>Totals</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b/>
                <w:bCs/>
                <w:sz w:val="24"/>
                <w:szCs w:val="24"/>
              </w:rPr>
              <w:t>64.9</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b/>
                <w:bCs/>
                <w:sz w:val="24"/>
                <w:szCs w:val="24"/>
              </w:rPr>
              <w:t>71.4</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b/>
                <w:bCs/>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b/>
                <w:bCs/>
                <w:sz w:val="24"/>
                <w:szCs w:val="24"/>
              </w:rPr>
              <w:t>0.0</w:t>
            </w:r>
          </w:p>
        </w:tc>
        <w:tc>
          <w:tcPr>
            <w:tcW w:w="83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b/>
                <w:bCs/>
                <w:sz w:val="24"/>
                <w:szCs w:val="24"/>
              </w:rPr>
              <w:t>0.0</w:t>
            </w:r>
          </w:p>
        </w:tc>
        <w:tc>
          <w:tcPr>
            <w:tcW w:w="8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BF37BE" w:rsidRDefault="00BF37BE">
            <w:pPr>
              <w:spacing w:before="100" w:beforeAutospacing="1" w:after="100" w:afterAutospacing="1"/>
              <w:jc w:val="right"/>
              <w:rPr>
                <w:rFonts w:ascii="Arial" w:hAnsi="Arial" w:cs="Arial"/>
                <w:sz w:val="24"/>
                <w:szCs w:val="24"/>
              </w:rPr>
            </w:pPr>
            <w:r>
              <w:rPr>
                <w:rFonts w:ascii="Arial" w:hAnsi="Arial" w:cs="Arial"/>
                <w:b/>
                <w:bCs/>
                <w:sz w:val="24"/>
                <w:szCs w:val="24"/>
              </w:rPr>
              <w:t>0.0</w:t>
            </w:r>
          </w:p>
        </w:tc>
      </w:tr>
    </w:tbl>
    <w:p w:rsidR="00BF37BE" w:rsidRDefault="00BF37BE" w:rsidP="00BF37BE">
      <w:pPr>
        <w:spacing w:before="100" w:beforeAutospacing="1" w:after="100" w:afterAutospacing="1"/>
        <w:ind w:left="720"/>
        <w:jc w:val="center"/>
        <w:rPr>
          <w:rFonts w:ascii="Arial" w:hAnsi="Arial" w:cs="Arial"/>
          <w:sz w:val="24"/>
          <w:szCs w:val="24"/>
        </w:rPr>
      </w:pPr>
      <w:r>
        <w:rPr>
          <w:rFonts w:ascii="Arial" w:hAnsi="Arial" w:cs="Arial"/>
          <w:sz w:val="24"/>
          <w:szCs w:val="24"/>
        </w:rPr>
        <w:t> </w:t>
      </w:r>
    </w:p>
    <w:p w:rsidR="00BF37BE" w:rsidRDefault="00BF37BE" w:rsidP="00BF37BE">
      <w:pPr>
        <w:spacing w:before="100" w:beforeAutospacing="1" w:after="100" w:afterAutospacing="1"/>
        <w:ind w:left="720"/>
        <w:jc w:val="both"/>
        <w:rPr>
          <w:rFonts w:ascii="Arial" w:hAnsi="Arial" w:cs="Arial"/>
          <w:sz w:val="24"/>
          <w:szCs w:val="24"/>
        </w:rPr>
      </w:pPr>
      <w:r>
        <w:rPr>
          <w:rFonts w:ascii="Arial" w:hAnsi="Arial" w:cs="Arial"/>
          <w:sz w:val="24"/>
          <w:szCs w:val="24"/>
        </w:rPr>
        <w:t xml:space="preserve">As you can see, STUDENT has made quite a bit of progress on the Inventory since March. He’s getting close to his goal and will meet it by working in the domains of Street Crossings, Orientation, and Cane Skills. It is important to keep in mind that the 71.4% is not a letter grade but rather how much of the curriculum he has so far mastered. </w:t>
      </w:r>
    </w:p>
    <w:p w:rsidR="00CD48BE" w:rsidRDefault="00CD48BE">
      <w:bookmarkStart w:id="0" w:name="_GoBack"/>
      <w:bookmarkEnd w:id="0"/>
    </w:p>
    <w:sectPr w:rsidR="00CD4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BE"/>
    <w:rsid w:val="00BF37BE"/>
    <w:rsid w:val="00CD48BE"/>
    <w:rsid w:val="00D5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BCF1F-6314-4BF4-837A-C88595C1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NMSBVI</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Gower, Jacob</dc:creator>
  <cp:keywords/>
  <dc:description/>
  <cp:lastModifiedBy>Gower, Jacob</cp:lastModifiedBy>
  <cp:revision>1</cp:revision>
  <dcterms:created xsi:type="dcterms:W3CDTF">2016-11-02T22:00:00Z</dcterms:created>
  <dcterms:modified xsi:type="dcterms:W3CDTF">2016-11-02T22:12:00Z</dcterms:modified>
</cp:coreProperties>
</file>